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/>
        <w:drawing>
          <wp:inline distT="0" distB="0" distL="0" distR="0">
            <wp:extent cx="1971675" cy="866775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 w:cs="Calibri" w:asciiTheme="minorHAnsi" w:cstheme="minorHAnsi" w:hAnsiTheme="minorHAnsi"/>
          <w:b/>
          <w:color w:themeColor="background1" w:val="FFFFFF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 xml:space="preserve">ANNEXE AU CCTP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 w:cs="Calibri" w:asciiTheme="minorHAnsi" w:cstheme="minorHAnsi" w:hAnsiTheme="minorHAnsi"/>
          <w:b/>
          <w:color w:themeColor="background1" w:val="FFFFFF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>Fiche de site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rPr>
          <w:rFonts w:ascii="Calibri" w:hAnsi="Calibri" w:cs="Calibri" w:asciiTheme="minorHAnsi" w:cstheme="minorHAnsi" w:hAnsiTheme="minorHAnsi"/>
          <w:b/>
          <w:color w:themeColor="background1" w:val="FFFFFF"/>
        </w:rPr>
      </w:pPr>
      <w:r>
        <w:rPr>
          <w:rFonts w:cs="Calibri" w:cstheme="minorHAnsi" w:ascii="Calibri" w:hAnsi="Calibri"/>
          <w:b/>
          <w:color w:themeColor="background1" w:val="FFFFFF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365F91" w:themeFill="accent1" w:themeFillShade="bf"/>
        <w:jc w:val="center"/>
        <w:rPr>
          <w:rFonts w:ascii="Calibri" w:hAnsi="Calibri" w:cs="Calibri" w:asciiTheme="minorHAnsi" w:cstheme="minorHAnsi" w:hAnsiTheme="minorHAnsi"/>
          <w:b/>
          <w:color w:themeColor="background1" w:val="FFFFFF"/>
          <w:sz w:val="28"/>
          <w:szCs w:val="28"/>
        </w:rPr>
      </w:pP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 xml:space="preserve"> </w:t>
      </w:r>
      <w:r>
        <w:rPr>
          <w:rFonts w:cs="Calibri" w:ascii="Calibri" w:hAnsi="Calibri" w:asciiTheme="minorHAnsi" w:cstheme="minorHAnsi" w:hAnsiTheme="minorHAnsi"/>
          <w:b/>
          <w:color w:themeColor="background1" w:val="FFFFFF"/>
          <w:sz w:val="28"/>
          <w:szCs w:val="28"/>
        </w:rPr>
        <w:t>Bâtiment CASC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color w:val="000080"/>
        </w:rPr>
      </w:pPr>
      <w:r>
        <w:rPr>
          <w:rFonts w:cs="Calibri" w:cstheme="minorHAnsi" w:ascii="Calibri" w:hAnsi="Calibri"/>
          <w:b/>
          <w:color w:val="00008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color w:val="000080"/>
        </w:rPr>
      </w:pPr>
      <w:r>
        <w:rPr>
          <w:rFonts w:cs="Calibri" w:cstheme="minorHAnsi" w:ascii="Calibri" w:hAnsi="Calibri"/>
          <w:b/>
          <w:color w:val="00008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Descriptif du bâtiment</w:t>
      </w:r>
      <w:r>
        <w:rPr>
          <w:rFonts w:cs="Calibri" w:ascii="Calibri" w:hAnsi="Calibri" w:asciiTheme="minorHAnsi" w:cstheme="minorHAnsi" w:hAnsiTheme="minorHAnsi"/>
          <w:b/>
        </w:rPr>
        <w:t xml:space="preserve"> :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Bâtiment classé « ERP 2</w:t>
      </w:r>
      <w:r>
        <w:rPr>
          <w:rFonts w:cs="Calibri" w:ascii="Calibri" w:hAnsi="Calibri" w:asciiTheme="minorHAnsi" w:cstheme="minorHAnsi" w:hAnsiTheme="minorHAnsi"/>
          <w:bCs/>
          <w:vertAlign w:val="superscript"/>
        </w:rPr>
        <w:t xml:space="preserve">ème </w:t>
      </w:r>
      <w:r>
        <w:rPr>
          <w:rFonts w:cs="Calibri" w:ascii="Calibri" w:hAnsi="Calibri" w:asciiTheme="minorHAnsi" w:cstheme="minorHAnsi" w:hAnsiTheme="minorHAnsi"/>
          <w:bCs/>
        </w:rPr>
        <w:t>Catégorie »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Il comprend : 1 centre médico-social, 1 complexe sportif, 1 salle de spectacle modulable, 1 salle d’exposition, 1 salle de convivialité et des bureaux.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 xml:space="preserve">Nombre d’agents hébergés : 20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Superficies à nettoyer (en m2)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5"/>
        <w:gridCol w:w="3123"/>
        <w:gridCol w:w="991"/>
        <w:gridCol w:w="1039"/>
        <w:gridCol w:w="1070"/>
        <w:gridCol w:w="987"/>
        <w:gridCol w:w="1156"/>
      </w:tblGrid>
      <w:tr>
        <w:trPr/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SECTEURS</w:t>
            </w:r>
          </w:p>
        </w:tc>
        <w:tc>
          <w:tcPr>
            <w:tcW w:w="3123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SURFACES (m²)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br/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« PRODUCTION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Bureaux, locaux communs : courrier, reprographie, zones d’archives vivantes, salles de sport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80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1080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1000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2160</w:t>
            </w:r>
          </w:p>
        </w:tc>
      </w:tr>
      <w:tr>
        <w:trPr>
          <w:trHeight w:val="113" w:hRule="atLeast"/>
        </w:trPr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Circulations,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660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20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680</w:t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118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118</w:t>
            </w:r>
          </w:p>
        </w:tc>
      </w:tr>
      <w:tr>
        <w:trPr/>
        <w:tc>
          <w:tcPr>
            <w:tcW w:w="17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« IMAGE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Espaces d’accueil, salles d’attente, salles de conférence, salles de réunions,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835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181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1016</w:t>
            </w:r>
          </w:p>
        </w:tc>
      </w:tr>
      <w:tr>
        <w:trPr>
          <w:trHeight w:val="868" w:hRule="atLeast"/>
        </w:trPr>
        <w:tc>
          <w:tcPr>
            <w:tcW w:w="172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« HYGIENE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Sanitaires, douches, vestiaires, zones vie, cabinets médicaux et infirmeries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400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490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890</w:t>
            </w:r>
          </w:p>
        </w:tc>
      </w:tr>
      <w:tr>
        <w:trPr/>
        <w:tc>
          <w:tcPr>
            <w:tcW w:w="1725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« TECHNIQUE »</w:t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 w:cs="Calibri" w:asciiTheme="minorHAnsi" w:cstheme="minorHAnsi" w:hAnsiTheme="minorHAnsi"/>
                <w:b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Espaces extérieurs du bâtiment tels que voirie, cours, etc..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 w:cs="Calibri" w:asciiTheme="minorHAnsi" w:cstheme="minorHAnsi" w:hAnsiTheme="minorHAnsi"/>
                <w:b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1725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1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Parkings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 w:cs="Calibri" w:asciiTheme="minorHAnsi" w:cstheme="minorHAnsi" w:hAnsiTheme="minorHAnsi"/>
                <w:b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457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TOTAL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4 864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  <w:r>
        <w:br w:type="page"/>
      </w:r>
    </w:p>
    <w:p>
      <w:pPr>
        <w:pStyle w:val="Normal"/>
        <w:spacing w:before="0" w:after="0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 xml:space="preserve">Vitrerie </w:t>
      </w:r>
    </w:p>
    <w:tbl>
      <w:tblPr>
        <w:tblW w:w="11040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677"/>
        <w:gridCol w:w="707"/>
        <w:gridCol w:w="216"/>
        <w:gridCol w:w="3753"/>
        <w:gridCol w:w="1737"/>
        <w:gridCol w:w="1949"/>
      </w:tblGrid>
      <w:tr>
        <w:trPr>
          <w:trHeight w:val="401" w:hRule="atLeast"/>
        </w:trPr>
        <w:tc>
          <w:tcPr>
            <w:tcW w:w="3384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Surfaces (m²)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  <w:vAlign w:val="center"/>
          </w:tcPr>
          <w:p>
            <w:pPr>
              <w:pStyle w:val="Heading4"/>
              <w:spacing w:before="0" w:after="120"/>
              <w:rPr>
                <w:rFonts w:ascii="Calibri" w:hAnsi="Calibri" w:eastAsia="Arial Unicode MS" w:cs="Calibri" w:asciiTheme="minorHAnsi" w:cstheme="minorHAnsi" w:hAnsiTheme="minorHAnsi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Cs w:val="22"/>
              </w:rPr>
              <w:t>Dont vitrerie inaccessible</w:t>
            </w:r>
          </w:p>
        </w:tc>
        <w:tc>
          <w:tcPr>
            <w:tcW w:w="17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Cs w:val="22"/>
              </w:rPr>
              <w:t>Solution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Heading4"/>
              <w:spacing w:before="0" w:after="12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Cs w:val="22"/>
              </w:rPr>
              <w:t>Observation</w:t>
            </w:r>
          </w:p>
        </w:tc>
      </w:tr>
      <w:tr>
        <w:trPr>
          <w:cantSplit w:val="true"/>
        </w:trPr>
        <w:tc>
          <w:tcPr>
            <w:tcW w:w="26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Face extérieure</w:t>
            </w:r>
          </w:p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sz w:val="22"/>
                <w:szCs w:val="22"/>
              </w:rPr>
              <w:t>(Bâtiment non équipé de nacelle)</w:t>
            </w:r>
          </w:p>
        </w:tc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521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Face intérieure et sas d’entrée </w:t>
            </w:r>
          </w:p>
        </w:tc>
        <w:tc>
          <w:tcPr>
            <w:tcW w:w="17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Nacelle au sol et perche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Obligatoire</w:t>
            </w:r>
          </w:p>
        </w:tc>
      </w:tr>
      <w:tr>
        <w:trPr/>
        <w:tc>
          <w:tcPr>
            <w:tcW w:w="26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Face intérieure</w:t>
            </w:r>
          </w:p>
        </w:tc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521</w:t>
            </w:r>
          </w:p>
        </w:tc>
        <w:tc>
          <w:tcPr>
            <w:tcW w:w="216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Verrière du hall d’entrée extérieure</w:t>
            </w:r>
          </w:p>
        </w:tc>
        <w:tc>
          <w:tcPr>
            <w:tcW w:w="17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Perche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Obligatoire</w:t>
            </w:r>
          </w:p>
        </w:tc>
      </w:tr>
      <w:tr>
        <w:trPr>
          <w:trHeight w:val="330" w:hRule="atLeast"/>
        </w:trPr>
        <w:tc>
          <w:tcPr>
            <w:tcW w:w="26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Vitreries opaque (émalites)</w:t>
            </w:r>
          </w:p>
        </w:tc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16</w:t>
            </w:r>
          </w:p>
        </w:tc>
        <w:tc>
          <w:tcPr>
            <w:tcW w:w="216" w:type="dxa"/>
            <w:vMerge w:val="restart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7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Façade intérieure et extérieure (143 rue de Bercy)</w:t>
            </w:r>
          </w:p>
        </w:tc>
        <w:tc>
          <w:tcPr>
            <w:tcW w:w="173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Camion nacelle ou nacelle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Obligatoire</w:t>
            </w:r>
          </w:p>
        </w:tc>
      </w:tr>
      <w:tr>
        <w:trPr>
          <w:trHeight w:val="330" w:hRule="atLeast"/>
        </w:trPr>
        <w:tc>
          <w:tcPr>
            <w:tcW w:w="267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Total vitrerie</w:t>
            </w:r>
          </w:p>
        </w:tc>
        <w:tc>
          <w:tcPr>
            <w:tcW w:w="70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ascii="Calibri" w:hAnsi="Calibri" w:asciiTheme="minorHAnsi" w:cstheme="minorHAnsi" w:hAnsiTheme="minorHAnsi"/>
                <w:b/>
                <w:sz w:val="22"/>
                <w:szCs w:val="22"/>
              </w:rPr>
              <w:t>1058</w:t>
            </w:r>
          </w:p>
        </w:tc>
        <w:tc>
          <w:tcPr>
            <w:tcW w:w="216" w:type="dxa"/>
            <w:vMerge w:val="continue"/>
            <w:tcBorders>
              <w:left w:val="single" w:sz="4" w:space="0" w:color="000080"/>
              <w:bottom w:val="single" w:sz="4" w:space="0" w:color="00000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43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ind w:firstLine="708"/>
              <w:jc w:val="center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cs="Calibri" w:ascii="Calibri" w:hAnsi="Calibri" w:asciiTheme="minorHAnsi" w:cstheme="minorHAnsi" w:hAnsiTheme="minorHAnsi"/>
                <w:b/>
              </w:rPr>
              <w:t>Pour information : certaines prestations de vitrerie inaccessible devront être faites avec l’aide d’une perche télescopique de type H2O</w:t>
            </w:r>
          </w:p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</w:tr>
      <w:tr>
        <w:trPr>
          <w:trHeight w:val="330" w:hRule="atLeast"/>
        </w:trPr>
        <w:tc>
          <w:tcPr>
            <w:tcW w:w="2677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07" w:type="dxa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vMerge w:val="continue"/>
            <w:tcBorders>
              <w:top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439" w:type="dxa"/>
            <w:gridSpan w:val="3"/>
            <w:tcBorders>
              <w:top w:val="single" w:sz="4" w:space="0" w:color="000080"/>
            </w:tcBorders>
          </w:tcPr>
          <w:p>
            <w:pPr>
              <w:pStyle w:val="Normal"/>
              <w:ind w:firstLine="708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</w:tr>
      <w:tr>
        <w:trPr/>
        <w:tc>
          <w:tcPr>
            <w:tcW w:w="2677" w:type="dxa"/>
            <w:tcBorders/>
            <w:shd w:color="auto" w:fill="auto" w:val="clear"/>
          </w:tcPr>
          <w:p>
            <w:pPr>
              <w:pStyle w:val="Normal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707" w:type="dxa"/>
            <w:tcBorders/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16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3753" w:type="dxa"/>
            <w:tcBorders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737" w:type="dxa"/>
            <w:tcBorders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949" w:type="dxa"/>
            <w:tcBorders/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 w:eastAsia="Arial Unicode MS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eastAsia="Arial Unicode MS" w:cs="Calibri" w:cstheme="minorHAnsi" w:ascii="Calibri" w:hAnsi="Calibri"/>
                <w:b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Plage horaire d’intervention des agents de nettoyage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2"/>
          <w:szCs w:val="22"/>
          <w:u w:val="single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 xml:space="preserve">Horaires d’interventions : 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Heure début : 6H00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Heure fin : 9H00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Personnel de permanence (régie) : OUI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Personnel de permanence du lundi au vendredi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 :</w:t>
      </w: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 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7 heures à effectuer par jour et précisées ci-dessus :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Horaire du matin : 09h00-12h00</w:t>
      </w:r>
    </w:p>
    <w:p>
      <w:pPr>
        <w:pStyle w:val="Normal"/>
        <w:spacing w:before="0" w:after="12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Horaire de l’après-midi : 13h00-17h00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Permanence week-end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 :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Personnel de permanence le samedi matin : de 07h00 à 10h00 soit 03h00 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Personnel de permanence le dimanche matin : de 07h00 à 10h00 soit 03h00 </w:t>
      </w:r>
    </w:p>
    <w:p>
      <w:pPr>
        <w:pStyle w:val="Normal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___________________________________________________________________________________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Mise en place des consommables par le prestataire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cstheme="minorHAnsi" w:ascii="Calibri" w:hAnsi="Calibri"/>
          <w:b/>
          <w:sz w:val="26"/>
          <w:szCs w:val="26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Sanitaires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tbl>
      <w:tblPr>
        <w:tblW w:w="1021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644"/>
        <w:gridCol w:w="527"/>
        <w:gridCol w:w="174"/>
        <w:gridCol w:w="2955"/>
        <w:gridCol w:w="1133"/>
        <w:gridCol w:w="1177"/>
        <w:gridCol w:w="1605"/>
      </w:tblGrid>
      <w:tr>
        <w:trPr>
          <w:trHeight w:val="448" w:hRule="atLeast"/>
        </w:trPr>
        <w:tc>
          <w:tcPr>
            <w:tcW w:w="3171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Nombre de cabines sanitaires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9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Appareils sanitaires 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Nombre d’appareils</w:t>
            </w:r>
          </w:p>
        </w:tc>
        <w:tc>
          <w:tcPr>
            <w:tcW w:w="11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Appareils à fournir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D9D9D9" w:themeFill="background1" w:themeFillShade="d9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Femmes</w:t>
            </w:r>
          </w:p>
        </w:tc>
        <w:tc>
          <w:tcPr>
            <w:tcW w:w="5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9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Dérouleurs papier hygiénique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26</w:t>
            </w:r>
          </w:p>
        </w:tc>
        <w:tc>
          <w:tcPr>
            <w:tcW w:w="11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Hommes</w:t>
            </w:r>
          </w:p>
        </w:tc>
        <w:tc>
          <w:tcPr>
            <w:tcW w:w="5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9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Distributeurs de savon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---</w:t>
            </w:r>
          </w:p>
        </w:tc>
        <w:tc>
          <w:tcPr>
            <w:tcW w:w="11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NON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NON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ind w:left="12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Handicapés Femmes</w:t>
            </w:r>
          </w:p>
        </w:tc>
        <w:tc>
          <w:tcPr>
            <w:tcW w:w="5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9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Réceptacles hygiène féminine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13</w:t>
            </w:r>
          </w:p>
        </w:tc>
        <w:tc>
          <w:tcPr>
            <w:tcW w:w="11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Handicapés Hommes</w:t>
            </w:r>
          </w:p>
        </w:tc>
        <w:tc>
          <w:tcPr>
            <w:tcW w:w="5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955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Pastille pour urinoir</w:t>
            </w:r>
          </w:p>
        </w:tc>
        <w:tc>
          <w:tcPr>
            <w:tcW w:w="1133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1177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00"/>
              <w:bottom w:val="single" w:sz="4" w:space="0" w:color="00008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Total : (98m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sol/467m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mur)</w:t>
            </w:r>
          </w:p>
        </w:tc>
        <w:tc>
          <w:tcPr>
            <w:tcW w:w="5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26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Balayette WC et socle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26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22"/>
                <w:szCs w:val="22"/>
              </w:rPr>
              <w:t>OUI</w:t>
            </w:r>
          </w:p>
        </w:tc>
      </w:tr>
      <w:tr>
        <w:trPr>
          <w:trHeight w:val="472" w:hRule="atLeast"/>
        </w:trPr>
        <w:tc>
          <w:tcPr>
            <w:tcW w:w="2644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  <w:p>
            <w:pPr>
              <w:pStyle w:val="Normal"/>
              <w:snapToGrid w:val="false"/>
              <w:spacing w:before="60" w:after="60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527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 w:cs="Calibri" w:asciiTheme="minorHAnsi" w:cstheme="minorHAnsi" w:hAnsiTheme="minorHAnsi"/>
                <w:b/>
                <w:sz w:val="22"/>
                <w:szCs w:val="22"/>
              </w:rPr>
            </w:pPr>
            <w:r>
              <w:rPr>
                <w:rFonts w:cs="Calibri" w:cstheme="minorHAnsi" w:ascii="Calibri" w:hAnsi="Calibri"/>
                <w:b/>
                <w:sz w:val="22"/>
                <w:szCs w:val="22"/>
              </w:rPr>
            </w:r>
          </w:p>
        </w:tc>
        <w:tc>
          <w:tcPr>
            <w:tcW w:w="174" w:type="dxa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 w:cs="Calibri" w:asciiTheme="minorHAnsi" w:cstheme="minorHAnsi" w:hAnsiTheme="minorHAnsi"/>
                <w:b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b/>
                <w:sz w:val="16"/>
                <w:szCs w:val="16"/>
              </w:rPr>
            </w:r>
          </w:p>
        </w:tc>
        <w:tc>
          <w:tcPr>
            <w:tcW w:w="6870" w:type="dxa"/>
            <w:gridSpan w:val="4"/>
            <w:tcBorders>
              <w:top w:val="single" w:sz="2" w:space="0" w:color="000000"/>
            </w:tcBorders>
          </w:tcPr>
          <w:p>
            <w:pPr>
              <w:pStyle w:val="Normal"/>
              <w:jc w:val="both"/>
              <w:rPr>
                <w:rFonts w:ascii="Calibri" w:hAnsi="Calibri" w:cs="Calibri" w:asciiTheme="minorHAnsi" w:cstheme="minorHAnsi" w:hAnsiTheme="minorHAnsi"/>
                <w:b/>
                <w:sz w:val="16"/>
                <w:szCs w:val="16"/>
                <w:u w:val="single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sz w:val="16"/>
                <w:szCs w:val="16"/>
                <w:u w:val="single"/>
              </w:rPr>
              <w:t>CARACTERISTIQUES TECHNIQUES :</w:t>
            </w:r>
          </w:p>
          <w:p>
            <w:pPr>
              <w:pStyle w:val="BodyText2"/>
              <w:rPr>
                <w:rFonts w:ascii="Calibri" w:hAnsi="Calibri" w:cs="Calibri" w:asciiTheme="minorHAnsi" w:cstheme="minorHAnsi" w:hAnsiTheme="minorHAnsi"/>
                <w:sz w:val="16"/>
                <w:szCs w:val="16"/>
              </w:rPr>
            </w:pPr>
            <w:r>
              <w:rPr>
                <w:rFonts w:cs="Calibri" w:ascii="Calibri" w:hAnsi="Calibri" w:asciiTheme="minorHAnsi" w:cstheme="minorHAnsi" w:hAnsiTheme="minorHAnsi"/>
                <w:sz w:val="16"/>
                <w:szCs w:val="16"/>
              </w:rPr>
              <w:t>Tous les articles doivent être conformes aux spécifications ci-après :</w:t>
            </w:r>
          </w:p>
          <w:p>
            <w:pPr>
              <w:pStyle w:val="BodyText3"/>
              <w:spacing w:before="0" w:after="0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ascii="Calibri" w:hAnsi="Calibri" w:asciiTheme="minorHAnsi" w:cstheme="minorHAnsi" w:hAnsiTheme="minorHAnsi"/>
              </w:rPr>
              <w:t xml:space="preserve">-  </w:t>
            </w:r>
            <w:r>
              <w:rPr>
                <w:rFonts w:cs="Calibri" w:ascii="Calibri" w:hAnsi="Calibri" w:asciiTheme="minorHAnsi" w:cstheme="minorHAnsi" w:hAnsiTheme="minorHAnsi"/>
                <w:u w:val="single"/>
              </w:rPr>
              <w:t>le papier hygiénique</w:t>
            </w:r>
            <w:r>
              <w:rPr>
                <w:rFonts w:cs="Calibri" w:ascii="Calibri" w:hAnsi="Calibri" w:asciiTheme="minorHAnsi" w:cstheme="minorHAnsi" w:hAnsiTheme="minorHAnsi"/>
              </w:rPr>
              <w:t> : ouate de cellulose – 1 pli, grammage : 9/m2 1X 22,5 gr (+/-5%) NFO 01003. Les rouleaux sont adaptés aux dérouleurs mis en place sur le bâtiment (à voir lors de la visite de site)</w:t>
            </w:r>
          </w:p>
          <w:p>
            <w:pPr>
              <w:pStyle w:val="Normal"/>
              <w:rPr>
                <w:rFonts w:ascii="Calibri" w:hAnsi="Calibri" w:cs="Calibri" w:asciiTheme="minorHAnsi" w:cstheme="minorHAnsi" w:hAnsiTheme="minorHAnsi"/>
                <w:b/>
                <w:sz w:val="16"/>
                <w:szCs w:val="16"/>
              </w:rPr>
            </w:pPr>
            <w:r>
              <w:rPr>
                <w:rFonts w:cs="Calibri" w:cstheme="minorHAnsi" w:ascii="Calibri" w:hAnsi="Calibri"/>
                <w:b/>
                <w:sz w:val="16"/>
                <w:szCs w:val="16"/>
              </w:rPr>
            </w:r>
          </w:p>
        </w:tc>
      </w:tr>
    </w:tbl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</w:t>
      </w: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 xml:space="preserve"> </w:t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Spécificité du bâtiment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Equipé d’un Dojo (3 salles) 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 w:cs="Calibri" w:asciiTheme="minorHAnsi" w:cstheme="minorHAnsi" w:hAnsiTheme="minorHAnsi"/>
          <w:b/>
          <w:sz w:val="26"/>
          <w:szCs w:val="26"/>
        </w:rPr>
      </w:pPr>
      <w:r>
        <w:rPr>
          <w:rFonts w:cs="Calibri" w:ascii="Calibri" w:hAnsi="Calibri" w:asciiTheme="minorHAnsi" w:cstheme="minorHAnsi" w:hAnsiTheme="minorHAnsi"/>
          <w:b/>
          <w:sz w:val="26"/>
          <w:szCs w:val="26"/>
        </w:rPr>
        <w:t>Fréquences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Aspiration des gradins : quotidien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 xml:space="preserve">Nettoyage de l’espace convivialité et de la kitchenette y compris l’appareillage de cuisson ou autre </w:t>
      </w:r>
    </w:p>
    <w:p>
      <w:pPr>
        <w:pStyle w:val="Normal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Aspiration et lavage humide de l’ensemble des tatamis (Dojo) : quotidien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Nettoyage mécanisé du parquet du gymnase : Hebdomadaire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Nettoyage mécanisé des tapis de l’ensemble du CASC (dojo et salle de musculation compris) : mensuel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Décapage des douches et vestiaires : mensuel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cstheme="minorHAnsi" w:ascii="Calibri" w:hAnsi="Calibri"/>
          <w:bCs/>
          <w:sz w:val="22"/>
          <w:szCs w:val="22"/>
        </w:rPr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Cs/>
          <w:sz w:val="22"/>
          <w:szCs w:val="22"/>
        </w:rPr>
        <w:t>Nettoyage de la vitrerie des accès des loger et du CASC : Hebdomadaire</w:t>
      </w:r>
    </w:p>
    <w:p>
      <w:pPr>
        <w:pStyle w:val="Normal"/>
        <w:spacing w:before="60" w:after="0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cstheme="minorHAnsi" w:ascii="Calibri" w:hAnsi="Calibri"/>
          <w:b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____________________________________________________________________________________</w:t>
      </w:r>
    </w:p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tbl>
      <w:tblPr>
        <w:tblStyle w:val="Grilledutableau"/>
        <w:tblW w:w="1009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46"/>
        <w:gridCol w:w="5045"/>
      </w:tblGrid>
      <w:tr>
        <w:trPr/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  <w:kern w:val="0"/>
                <w:lang w:val="fr-FR" w:eastAsia="fr-FR" w:bidi="ar-SA"/>
              </w:rPr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  <w:kern w:val="0"/>
                <w:lang w:val="fr-FR" w:eastAsia="fr-FR" w:bidi="ar-SA"/>
              </w:rPr>
            </w:r>
          </w:p>
        </w:tc>
      </w:tr>
      <w:tr>
        <w:trPr/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  <w:kern w:val="0"/>
                <w:lang w:val="fr-FR" w:eastAsia="fr-FR" w:bidi="ar-SA"/>
              </w:rPr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</w:rPr>
            </w:pPr>
            <w:r>
              <w:rPr>
                <w:rFonts w:eastAsia="Times New Roman" w:cs="Calibri" w:cstheme="minorHAnsi" w:ascii="Calibri" w:hAnsi="Calibri"/>
                <w:b/>
                <w:kern w:val="0"/>
                <w:lang w:val="fr-FR" w:eastAsia="fr-FR" w:bidi="ar-SA"/>
              </w:rPr>
            </w:r>
          </w:p>
        </w:tc>
      </w:tr>
    </w:tbl>
    <w:p>
      <w:pPr>
        <w:pStyle w:val="Normal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sectPr>
      <w:footerReference w:type="default" r:id="rId3"/>
      <w:type w:val="nextPage"/>
      <w:pgSz w:w="11906" w:h="16838"/>
      <w:pgMar w:left="907" w:right="907" w:gutter="0" w:header="0" w:top="360" w:footer="709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roman"/>
    <w:pitch w:val="variable"/>
  </w:font>
  <w:font w:name="Times New Roman Gra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bCs/>
        <w:caps/>
        <w:sz w:val="16"/>
        <w:szCs w:val="16"/>
        <w:lang w:bidi="fa-IR"/>
      </w:rPr>
    </w:pPr>
    <w:bookmarkStart w:id="0" w:name="_Hlk195618209"/>
    <w:r>
      <w:rPr>
        <w:bCs/>
        <w:sz w:val="16"/>
        <w:szCs w:val="16"/>
      </w:rPr>
      <w:t xml:space="preserve">Marché de prestations de nettoyage des locaux de divers bâtiments </w:t>
    </w:r>
    <w:r>
      <w:rPr>
        <w:rFonts w:ascii="Times New Roman Gras" w:hAnsi="Times New Roman Gras"/>
        <w:bCs/>
        <w:sz w:val="16"/>
        <w:szCs w:val="16"/>
      </w:rPr>
      <w:t>g</w:t>
    </w:r>
    <w:r>
      <w:rPr>
        <w:rFonts w:cs="Arial" w:ascii="Times New Roman Gras" w:hAnsi="Times New Roman Gras"/>
        <w:bCs/>
        <w:sz w:val="16"/>
        <w:szCs w:val="16"/>
      </w:rPr>
      <w:t>é</w:t>
    </w:r>
    <w:r>
      <w:rPr>
        <w:rFonts w:ascii="Times New Roman Gras" w:hAnsi="Times New Roman Gras"/>
        <w:bCs/>
        <w:sz w:val="16"/>
        <w:szCs w:val="16"/>
      </w:rPr>
      <w:t>r</w:t>
    </w:r>
    <w:r>
      <w:rPr>
        <w:rFonts w:cs="Arial" w:ascii="Times New Roman Gras" w:hAnsi="Times New Roman Gras"/>
        <w:bCs/>
        <w:sz w:val="16"/>
        <w:szCs w:val="16"/>
      </w:rPr>
      <w:t>és</w:t>
    </w:r>
    <w:r>
      <w:rPr>
        <w:bCs/>
        <w:sz w:val="16"/>
        <w:szCs w:val="16"/>
      </w:rPr>
      <w:t xml:space="preserve"> par l’administration centrale </w:t>
    </w:r>
    <w:r>
      <w:rPr>
        <w:bCs/>
        <w:sz w:val="16"/>
        <w:szCs w:val="16"/>
        <w:lang w:bidi="fa-IR"/>
      </w:rPr>
      <w:t>du ministère de l’économie et des finances</w:t>
    </w:r>
    <w:r>
      <w:rPr>
        <w:bCs/>
        <w:caps/>
        <w:sz w:val="16"/>
        <w:szCs w:val="16"/>
        <w:lang w:bidi="fa-IR"/>
      </w:rPr>
      <w:t xml:space="preserve">- </w:t>
    </w:r>
    <w:bookmarkEnd w:id="0"/>
  </w:p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u w:val="single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 w:val="true"/>
      <w:spacing w:before="0" w:after="120"/>
      <w:jc w:val="center"/>
      <w:outlineLvl w:val="3"/>
    </w:pPr>
    <w:rPr>
      <w:b/>
      <w:bCs/>
      <w:sz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link w:val="Annotationtext"/>
    <w:qFormat/>
    <w:rPr/>
  </w:style>
  <w:style w:type="character" w:styleId="ObjetducommentaireCar" w:customStyle="1">
    <w:name w:val="Objet du commentaire Car"/>
    <w:basedOn w:val="CommentaireCar"/>
    <w:link w:val="Annotationsubject"/>
    <w:semiHidden/>
    <w:qFormat/>
    <w:rPr>
      <w:b/>
      <w:bCs/>
    </w:rPr>
  </w:style>
  <w:style w:type="character" w:styleId="PieddepageCar" w:customStyle="1">
    <w:name w:val="Pied de page Car"/>
    <w:basedOn w:val="DefaultParagraphFont"/>
    <w:uiPriority w:val="99"/>
    <w:qFormat/>
    <w:rPr>
      <w:sz w:val="24"/>
      <w:szCs w:val="24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jc w:val="center"/>
    </w:pPr>
    <w:rPr>
      <w:sz w:val="22"/>
      <w:szCs w:val="20"/>
    </w:rPr>
  </w:style>
  <w:style w:type="paragraph" w:styleId="BodyText2">
    <w:name w:val="Body Text 2"/>
    <w:basedOn w:val="Normal"/>
    <w:qFormat/>
    <w:pPr/>
    <w:rPr>
      <w:sz w:val="22"/>
    </w:rPr>
  </w:style>
  <w:style w:type="paragraph" w:styleId="BodyText3">
    <w:name w:val="Body Text 3"/>
    <w:basedOn w:val="Normal"/>
    <w:qFormat/>
    <w:pPr>
      <w:spacing w:before="0" w:after="120"/>
    </w:pPr>
    <w:rPr>
      <w:sz w:val="16"/>
      <w:szCs w:val="16"/>
    </w:rPr>
  </w:style>
  <w:style w:type="paragraph" w:styleId="Annotationtext">
    <w:name w:val="annotation text"/>
    <w:basedOn w:val="Normal"/>
    <w:link w:val="CommentaireCar"/>
    <w:unhideWhenUsed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semiHidden/>
    <w:unhideWhenUsed/>
    <w:qFormat/>
    <w:pPr/>
    <w:rPr>
      <w:b/>
      <w:bCs/>
    </w:rPr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D55CD-7B1E-4243-ABDC-50800683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LibreOffice/7.6.4.1$Windows_X86_64 LibreOffice_project/e19e193f88cd6c0525a17fb7a176ed8e6a3e2aa1</Application>
  <AppVersion>15.0000</AppVersion>
  <Pages>6</Pages>
  <Words>549</Words>
  <Characters>3514</Characters>
  <CharactersWithSpaces>3942</CharactersWithSpaces>
  <Paragraphs>143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2025-04-14T10:28:00Z</dcterms:created>
  <dc:creator>dtottet-adc</dc:creator>
  <dc:description/>
  <dc:language>fr-FR</dc:language>
  <cp:lastModifiedBy>FARON Louis</cp:lastModifiedBy>
  <cp:lastPrinted>2017-08-18T15:17:00Z</cp:lastPrinted>
  <dcterms:modified xsi:type="dcterms:W3CDTF">2025-08-07T17:39:00Z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